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C4" w:rsidRPr="00B17604" w:rsidRDefault="009968C4" w:rsidP="009968C4">
      <w:pPr>
        <w:jc w:val="right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Anexo al Oficio Circular No. SACN/300/148/2003. </w:t>
      </w:r>
    </w:p>
    <w:p w:rsidR="009968C4" w:rsidRDefault="009968C4" w:rsidP="009968C4">
      <w:pPr>
        <w:pStyle w:val="Ttulo5"/>
        <w:autoSpaceDE w:val="0"/>
        <w:autoSpaceDN w:val="0"/>
        <w:rPr>
          <w:color w:val="auto"/>
          <w:sz w:val="40"/>
          <w:szCs w:val="39"/>
          <w:lang w:val="es-MX"/>
        </w:rPr>
      </w:pPr>
    </w:p>
    <w:p w:rsidR="009968C4" w:rsidRPr="00D2634E" w:rsidRDefault="009968C4" w:rsidP="009968C4">
      <w:pPr>
        <w:pStyle w:val="Ttulo5"/>
        <w:autoSpaceDE w:val="0"/>
        <w:autoSpaceDN w:val="0"/>
        <w:rPr>
          <w:color w:val="auto"/>
          <w:sz w:val="40"/>
          <w:szCs w:val="39"/>
          <w:lang w:val="es-MX"/>
        </w:rPr>
      </w:pPr>
      <w:r w:rsidRPr="00D2634E">
        <w:rPr>
          <w:color w:val="auto"/>
          <w:sz w:val="40"/>
          <w:szCs w:val="39"/>
          <w:lang w:val="es-MX"/>
        </w:rPr>
        <w:t xml:space="preserve">FORMATO </w:t>
      </w:r>
      <w:r>
        <w:rPr>
          <w:color w:val="auto"/>
          <w:sz w:val="40"/>
          <w:szCs w:val="39"/>
          <w:lang w:val="es-MX"/>
        </w:rPr>
        <w:t>20</w:t>
      </w:r>
    </w:p>
    <w:p w:rsidR="009968C4" w:rsidRPr="00B17604" w:rsidRDefault="009968C4" w:rsidP="009968C4">
      <w:pPr>
        <w:jc w:val="center"/>
        <w:rPr>
          <w:rFonts w:ascii="Arial" w:hAnsi="Arial" w:cs="Arial"/>
          <w:b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b/>
          <w:szCs w:val="23"/>
          <w:lang w:val="es-MX"/>
        </w:rPr>
      </w:pPr>
      <w:r w:rsidRPr="00B17604">
        <w:rPr>
          <w:rFonts w:ascii="Arial" w:hAnsi="Arial" w:cs="Arial"/>
          <w:b/>
          <w:bCs/>
          <w:szCs w:val="23"/>
          <w:lang w:val="es-MX"/>
        </w:rPr>
        <w:t xml:space="preserve">Nota informativa para participantes de países miembros de </w:t>
      </w:r>
      <w:smartTag w:uri="urn:schemas-microsoft-com:office:smarttags" w:element="PersonName">
        <w:smartTagPr>
          <w:attr w:name="ProductID" w:val="la Organizaci￳n"/>
        </w:smartTagPr>
        <w:r w:rsidRPr="00B17604">
          <w:rPr>
            <w:rFonts w:ascii="Arial" w:hAnsi="Arial" w:cs="Arial"/>
            <w:b/>
            <w:bCs/>
            <w:szCs w:val="23"/>
            <w:lang w:val="es-MX"/>
          </w:rPr>
          <w:t>la Organización</w:t>
        </w:r>
      </w:smartTag>
      <w:r w:rsidRPr="00B17604">
        <w:rPr>
          <w:rFonts w:ascii="Arial" w:hAnsi="Arial" w:cs="Arial"/>
          <w:b/>
          <w:bCs/>
          <w:szCs w:val="23"/>
          <w:lang w:val="es-MX"/>
        </w:rPr>
        <w:t xml:space="preserve"> para </w:t>
      </w:r>
      <w:smartTag w:uri="urn:schemas-microsoft-com:office:smarttags" w:element="PersonName">
        <w:smartTagPr>
          <w:attr w:name="ProductID" w:val="la Cooperaci￳n"/>
        </w:smartTagPr>
        <w:r w:rsidRPr="00B17604">
          <w:rPr>
            <w:rFonts w:ascii="Arial" w:hAnsi="Arial" w:cs="Arial"/>
            <w:b/>
            <w:bCs/>
            <w:szCs w:val="23"/>
            <w:lang w:val="es-MX"/>
          </w:rPr>
          <w:t>la Cooperación</w:t>
        </w:r>
      </w:smartTag>
      <w:r w:rsidRPr="00B17604">
        <w:rPr>
          <w:rFonts w:ascii="Arial" w:hAnsi="Arial" w:cs="Arial"/>
          <w:b/>
          <w:bCs/>
          <w:szCs w:val="23"/>
          <w:lang w:val="es-MX"/>
        </w:rPr>
        <w:t xml:space="preserve"> y el Desarrollo Económico (OCDE). </w:t>
      </w:r>
    </w:p>
    <w:p w:rsidR="009968C4" w:rsidRPr="00B17604" w:rsidRDefault="009968C4" w:rsidP="009968C4">
      <w:pPr>
        <w:rPr>
          <w:rFonts w:ascii="Arial" w:hAnsi="Arial" w:cs="Arial"/>
          <w:b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El compromiso de México en el combate a la corrupción ha transcendido nuestras fronteras y el ámbito de acción del gobierno federal. En el plano internacional y como miembro de </w:t>
      </w:r>
      <w:smartTag w:uri="urn:schemas-microsoft-com:office:smarttags" w:element="PersonName">
        <w:smartTagPr>
          <w:attr w:name="ProductID" w:val="la Organizaci￳n"/>
        </w:smartTagPr>
        <w:r w:rsidRPr="00B17604">
          <w:rPr>
            <w:rFonts w:ascii="Arial" w:hAnsi="Arial" w:cs="Arial"/>
            <w:szCs w:val="23"/>
            <w:lang w:val="es-MX"/>
          </w:rPr>
          <w:t>la Organización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para </w:t>
      </w:r>
      <w:smartTag w:uri="urn:schemas-microsoft-com:office:smarttags" w:element="PersonName">
        <w:smartTagPr>
          <w:attr w:name="ProductID" w:val="la Cooperaci￳n"/>
        </w:smartTagPr>
        <w:r w:rsidRPr="00B17604">
          <w:rPr>
            <w:rFonts w:ascii="Arial" w:hAnsi="Arial" w:cs="Arial"/>
            <w:szCs w:val="23"/>
            <w:lang w:val="es-MX"/>
          </w:rPr>
          <w:t>la Cooperación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y el Desarrollo Económico (OCDE) y firmante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 xml:space="preserve">la </w:t>
        </w:r>
        <w:r w:rsidRPr="00B17604">
          <w:rPr>
            <w:rFonts w:ascii="Arial" w:hAnsi="Arial" w:cs="Arial"/>
            <w:b/>
            <w:bCs/>
            <w:i/>
            <w:iCs/>
            <w:szCs w:val="23"/>
            <w:lang w:val="es-MX"/>
          </w:rPr>
          <w:t>Convención</w:t>
        </w:r>
      </w:smartTag>
      <w:r w:rsidRPr="00B17604">
        <w:rPr>
          <w:rFonts w:ascii="Arial" w:hAnsi="Arial" w:cs="Arial"/>
          <w:b/>
          <w:bCs/>
          <w:i/>
          <w:iCs/>
          <w:szCs w:val="23"/>
          <w:lang w:val="es-MX"/>
        </w:rPr>
        <w:t xml:space="preserve"> para combatir el cohecho de servidores públicos extranjeros en transacciones comerciales internacionales</w:t>
      </w:r>
      <w:r w:rsidRPr="00B17604">
        <w:rPr>
          <w:rFonts w:ascii="Arial" w:hAnsi="Arial" w:cs="Arial"/>
          <w:b/>
          <w:bCs/>
          <w:szCs w:val="23"/>
          <w:lang w:val="es-MX"/>
        </w:rPr>
        <w:t>,</w:t>
      </w:r>
      <w:r w:rsidRPr="00B17604">
        <w:rPr>
          <w:rFonts w:ascii="Arial" w:hAnsi="Arial" w:cs="Arial"/>
          <w:bCs/>
          <w:szCs w:val="23"/>
          <w:lang w:val="es-MX"/>
        </w:rPr>
        <w:t xml:space="preserve"> </w:t>
      </w:r>
      <w:r w:rsidRPr="00B17604">
        <w:rPr>
          <w:rFonts w:ascii="Arial" w:hAnsi="Arial" w:cs="Arial"/>
          <w:szCs w:val="23"/>
          <w:lang w:val="es-MX"/>
        </w:rPr>
        <w:t xml:space="preserve">hemos adquirido responsabilidades que involucran a los sectores público y privado.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compiten por las contrataciones gubernamentales.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smartTag w:uri="urn:schemas-microsoft-com:office:smarttags" w:element="PersonName">
        <w:smartTagPr>
          <w:attr w:name="ProductID" w:val="la OCDE"/>
        </w:smartTagPr>
        <w:r w:rsidRPr="00B17604">
          <w:rPr>
            <w:rFonts w:ascii="Arial" w:hAnsi="Arial" w:cs="Arial"/>
            <w:szCs w:val="23"/>
            <w:lang w:val="es-MX"/>
          </w:rPr>
          <w:t>La OCDE</w:t>
        </w:r>
      </w:smartTag>
      <w:r w:rsidRPr="00B17604">
        <w:rPr>
          <w:rFonts w:ascii="Arial" w:hAnsi="Arial" w:cs="Arial"/>
          <w:szCs w:val="23"/>
          <w:lang w:val="es-MX"/>
        </w:rPr>
        <w:t xml:space="preserve"> ha establecido mecanismos muy claros para que los países firmantes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>la Convención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cumplan con las recomendaciones emitidas por ésta y en el caso de México, iniciará en </w:t>
      </w:r>
      <w:r w:rsidRPr="00B17604">
        <w:rPr>
          <w:rFonts w:ascii="Arial" w:hAnsi="Arial" w:cs="Arial"/>
          <w:b/>
          <w:bCs/>
          <w:szCs w:val="23"/>
          <w:lang w:val="es-MX"/>
        </w:rPr>
        <w:t>noviembre de 2003</w:t>
      </w:r>
      <w:r w:rsidRPr="00B17604">
        <w:rPr>
          <w:rFonts w:ascii="Arial" w:hAnsi="Arial" w:cs="Arial"/>
          <w:bCs/>
          <w:szCs w:val="23"/>
          <w:lang w:val="es-MX"/>
        </w:rPr>
        <w:t xml:space="preserve"> </w:t>
      </w:r>
      <w:r w:rsidRPr="00B17604">
        <w:rPr>
          <w:rFonts w:ascii="Arial" w:hAnsi="Arial" w:cs="Arial"/>
          <w:szCs w:val="23"/>
          <w:lang w:val="es-MX"/>
        </w:rPr>
        <w:t xml:space="preserve">una segunda fase de </w:t>
      </w:r>
      <w:r w:rsidRPr="00B17604">
        <w:rPr>
          <w:rFonts w:ascii="Arial" w:hAnsi="Arial" w:cs="Arial"/>
          <w:b/>
          <w:bCs/>
          <w:szCs w:val="23"/>
          <w:lang w:val="es-MX"/>
        </w:rPr>
        <w:t xml:space="preserve">evaluación </w:t>
      </w:r>
      <w:r w:rsidRPr="00B17604">
        <w:rPr>
          <w:rFonts w:ascii="Arial" w:hAnsi="Arial" w:cs="Arial"/>
          <w:szCs w:val="23"/>
          <w:lang w:val="es-MX"/>
        </w:rPr>
        <w:t xml:space="preserve">–la primera ya fue aprobada– en donde un grupo de expertos verificará, entre otros: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La compatibilidad de nuestro marco jurídico con las disposiciones de </w:t>
      </w:r>
      <w:smartTag w:uri="urn:schemas-microsoft-com:office:smarttags" w:element="PersonName">
        <w:smartTagPr>
          <w:attr w:name="ProductID" w:val="la Convenci￳n."/>
        </w:smartTagPr>
        <w:r w:rsidRPr="00B17604">
          <w:rPr>
            <w:rFonts w:ascii="Arial" w:hAnsi="Arial" w:cs="Arial"/>
            <w:szCs w:val="23"/>
            <w:lang w:val="es-MX"/>
          </w:rPr>
          <w:t>la Convención.</w:t>
        </w:r>
      </w:smartTag>
      <w:r w:rsidRPr="00B17604">
        <w:rPr>
          <w:rFonts w:ascii="Arial" w:hAnsi="Arial" w:cs="Arial"/>
          <w:szCs w:val="23"/>
          <w:lang w:val="es-MX"/>
        </w:rPr>
        <w:t xml:space="preserve"> </w:t>
      </w: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El conocimiento que tengan los sectores público y privado de las recomendaciones de </w:t>
      </w:r>
      <w:smartTag w:uri="urn:schemas-microsoft-com:office:smarttags" w:element="PersonName">
        <w:smartTagPr>
          <w:attr w:name="ProductID" w:val="la Convenci￳n."/>
        </w:smartTagPr>
        <w:r w:rsidRPr="00B17604">
          <w:rPr>
            <w:rFonts w:ascii="Arial" w:hAnsi="Arial" w:cs="Arial"/>
            <w:szCs w:val="23"/>
            <w:lang w:val="es-MX"/>
          </w:rPr>
          <w:t>la Convención.</w:t>
        </w:r>
      </w:smartTag>
      <w:r w:rsidRPr="00B17604">
        <w:rPr>
          <w:rFonts w:ascii="Arial" w:hAnsi="Arial" w:cs="Arial"/>
          <w:szCs w:val="23"/>
          <w:lang w:val="es-MX"/>
        </w:rPr>
        <w:t xml:space="preserve">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El resultado de esta evaluación </w:t>
      </w:r>
      <w:r w:rsidRPr="00B17604">
        <w:rPr>
          <w:rFonts w:ascii="Arial" w:hAnsi="Arial" w:cs="Arial"/>
          <w:b/>
          <w:bCs/>
          <w:szCs w:val="23"/>
          <w:lang w:val="es-MX"/>
        </w:rPr>
        <w:t xml:space="preserve">impactará </w:t>
      </w:r>
      <w:r w:rsidRPr="00B17604">
        <w:rPr>
          <w:rFonts w:ascii="Arial" w:hAnsi="Arial" w:cs="Arial"/>
          <w:szCs w:val="23"/>
          <w:lang w:val="es-MX"/>
        </w:rPr>
        <w:t xml:space="preserve">el grado de inversión otorgado a México por las agencias calificadoras y la atracción de inversión extranjera.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Las </w:t>
      </w:r>
      <w:r w:rsidRPr="00B17604">
        <w:rPr>
          <w:rFonts w:ascii="Arial" w:hAnsi="Arial" w:cs="Arial"/>
          <w:b/>
          <w:bCs/>
          <w:szCs w:val="23"/>
          <w:lang w:val="es-MX"/>
        </w:rPr>
        <w:t xml:space="preserve">responsabilidades </w:t>
      </w:r>
      <w:r w:rsidRPr="00B17604">
        <w:rPr>
          <w:rFonts w:ascii="Arial" w:hAnsi="Arial" w:cs="Arial"/>
          <w:b/>
          <w:szCs w:val="23"/>
          <w:lang w:val="es-MX"/>
        </w:rPr>
        <w:t xml:space="preserve">del </w:t>
      </w:r>
      <w:r w:rsidRPr="00B17604">
        <w:rPr>
          <w:rFonts w:ascii="Arial" w:hAnsi="Arial" w:cs="Arial"/>
          <w:b/>
          <w:bCs/>
          <w:szCs w:val="23"/>
          <w:lang w:val="es-MX"/>
        </w:rPr>
        <w:t>sector público</w:t>
      </w:r>
      <w:r w:rsidRPr="00B17604">
        <w:rPr>
          <w:rFonts w:ascii="Arial" w:hAnsi="Arial" w:cs="Arial"/>
          <w:bCs/>
          <w:szCs w:val="23"/>
          <w:lang w:val="es-MX"/>
        </w:rPr>
        <w:t xml:space="preserve"> </w:t>
      </w:r>
      <w:r w:rsidRPr="00B17604">
        <w:rPr>
          <w:rFonts w:ascii="Arial" w:hAnsi="Arial" w:cs="Arial"/>
          <w:szCs w:val="23"/>
          <w:lang w:val="es-MX"/>
        </w:rPr>
        <w:t xml:space="preserve">se centran en: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Profundizar las reformas legales que inició en 1999. </w:t>
      </w: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lastRenderedPageBreak/>
        <w:t xml:space="preserve">Difundir las recomendaciones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>la Convención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y las obligaciones de cada uno de los actores comprometidos en su cumplimiento. </w:t>
      </w: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Presentar casos de cohecho en proceso y concluidos (incluyendo aquellos relacionados con lavado de dinero y extradición).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>Las responsabilidades del sector privado contemplan: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bCs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Las empresas: adoptar esquemas preventivos como el establecimiento de códigos de conducta, de mejores prácticas corporativas (controles internos, monitoreo, información financiera pública, auditorías externas) y de mecanismos que prevengan el ofrecimiento y otorgamiento de recursos o bienes a servidores públicos, para obtener beneficios particulares o para la empresa.</w:t>
      </w:r>
    </w:p>
    <w:p w:rsidR="009968C4" w:rsidRPr="00B17604" w:rsidRDefault="009968C4" w:rsidP="009968C4">
      <w:pPr>
        <w:ind w:left="540"/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Los contadores públicos: realizar auditorías; no encubrir actividades ilícitas (doble contabilidad y transacciones indebidas, como asientos contables falsificados, informes financieros fraudulentos, transferencias sin autorización, acceso a los activos sin consentimiento de la gerencia); utilizar registros contables precisos; informar a los directivos sobre conductas ilegales.</w:t>
      </w:r>
    </w:p>
    <w:p w:rsidR="009968C4" w:rsidRPr="00B17604" w:rsidRDefault="009968C4" w:rsidP="009968C4">
      <w:pPr>
        <w:ind w:left="540"/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bCs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Los abogados: promover el cumplimiento y revisión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>la Convención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(imprimir el carácter vinculatorio entre ésta y la legislación nacional); impulsar los esquemas preventivos que deben adoptar las empresas</w:t>
      </w:r>
      <w:r w:rsidRPr="00B17604">
        <w:rPr>
          <w:rFonts w:ascii="Arial" w:hAnsi="Arial" w:cs="Arial"/>
          <w:bCs/>
          <w:lang w:val="es-MX"/>
        </w:rPr>
        <w:t xml:space="preserve"> 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Las </w:t>
      </w:r>
      <w:r w:rsidRPr="00B17604">
        <w:rPr>
          <w:rFonts w:cs="Arial"/>
          <w:b/>
          <w:bCs/>
          <w:color w:val="auto"/>
          <w:szCs w:val="23"/>
          <w:lang w:val="es-MX"/>
        </w:rPr>
        <w:t>sanciones</w:t>
      </w:r>
      <w:r w:rsidRPr="00B17604">
        <w:rPr>
          <w:rFonts w:cs="Arial"/>
          <w:bCs/>
          <w:color w:val="auto"/>
          <w:szCs w:val="23"/>
          <w:lang w:val="es-MX"/>
        </w:rPr>
        <w:t xml:space="preserve"> </w:t>
      </w:r>
      <w:r w:rsidRPr="00B17604">
        <w:rPr>
          <w:rFonts w:cs="Arial"/>
          <w:color w:val="auto"/>
          <w:szCs w:val="23"/>
          <w:lang w:val="es-MX"/>
        </w:rPr>
        <w:t xml:space="preserve">impuestas a las personas físicas o morales (privados) y a los servidores públicos que incumplan las recomendaciones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cs="Arial"/>
            <w:color w:val="auto"/>
            <w:szCs w:val="23"/>
            <w:lang w:val="es-MX"/>
          </w:rPr>
          <w:t>la Convención</w:t>
        </w:r>
      </w:smartTag>
      <w:r w:rsidRPr="00B17604">
        <w:rPr>
          <w:rFonts w:cs="Arial"/>
          <w:color w:val="auto"/>
          <w:szCs w:val="23"/>
          <w:lang w:val="es-MX"/>
        </w:rPr>
        <w:t xml:space="preserve">, implican entre otras, privación de la libertad, extradición, decomiso y/o embargo de dinero o bienes. 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 xml:space="preserve">Asimismo, es importante conocer que el pago realizado a servidores públicos extranjeros es </w:t>
      </w:r>
      <w:r w:rsidRPr="00B17604">
        <w:rPr>
          <w:rFonts w:ascii="Arial" w:hAnsi="Arial" w:cs="Arial"/>
          <w:szCs w:val="23"/>
          <w:lang w:val="es-MX"/>
        </w:rPr>
        <w:t xml:space="preserve">perseguido y castigado independientemente de que el funcionario sea acusado o no. Las </w:t>
      </w:r>
      <w:r w:rsidRPr="00B17604">
        <w:rPr>
          <w:rFonts w:ascii="Arial" w:hAnsi="Arial" w:cs="Arial"/>
          <w:lang w:val="es-MX"/>
        </w:rPr>
        <w:t>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>El culpable puede ser perseguido en cualqu</w:t>
      </w:r>
      <w:r w:rsidRPr="00B17604">
        <w:rPr>
          <w:rFonts w:ascii="Arial" w:hAnsi="Arial" w:cs="Arial"/>
          <w:szCs w:val="23"/>
          <w:lang w:val="es-MX"/>
        </w:rPr>
        <w:t xml:space="preserve">ier país firmante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>la Convención</w:t>
        </w:r>
      </w:smartTag>
      <w:r w:rsidRPr="00B17604">
        <w:rPr>
          <w:rFonts w:ascii="Arial" w:hAnsi="Arial" w:cs="Arial"/>
          <w:szCs w:val="23"/>
          <w:lang w:val="es-MX"/>
        </w:rPr>
        <w:t>, dependientemente del lugar donde el acto de cohecho haya sido cometido.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 xml:space="preserve">En la medida que estos lineamientos sean conocidos por las empresas y los servidores públicos del país, estaremos contribuyendo a construir estructuras preventivas que impidan el incumplimiento de las recomendaciones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lang w:val="es-MX"/>
          </w:rPr>
          <w:t>la Convención</w:t>
        </w:r>
      </w:smartTag>
      <w:r w:rsidRPr="00B17604">
        <w:rPr>
          <w:rFonts w:ascii="Arial" w:hAnsi="Arial" w:cs="Arial"/>
          <w:lang w:val="es-MX"/>
        </w:rPr>
        <w:t xml:space="preserve"> y por tanto la comisión de actos de corrupción.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>Por otra parte, es de señalar que el Código Penal Federal sanciona el cohecho en los siguientes términos: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“Artículo 222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Cometen el delito de cohecho: 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3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El servidor público que por sí, o por interpósita persona solicite o reciba indebidamente para sí o para otro, dinero o cualquiera otra dádiva, o acepte una promesa, para hacer o dejar de hacer algo justo o injusto relacionado con sus funciones, y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3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El que de manera espontánea dé u ofrezca dinero o cualquier otra dádiva a alguna de las personas que se mencionan en la fracción anterior, para que cualquier servidor público haga u omita un acto justo o injusto relacionado con sus funciones.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Al que comete el delito de cohecho se le impondrán las siguientes sanciones: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Cuando la cantidad o el valor de la dádiva o promesa no exceda del equivalente de quinientas veces el salario mínimo diario vigente en el Distrito Federal en el momento de cometerse el delito, o no sea </w:t>
      </w:r>
      <w:proofErr w:type="spellStart"/>
      <w:r w:rsidRPr="00B17604">
        <w:rPr>
          <w:rFonts w:cs="Arial"/>
          <w:color w:val="auto"/>
          <w:szCs w:val="23"/>
          <w:lang w:val="es-MX"/>
        </w:rPr>
        <w:t>valuable</w:t>
      </w:r>
      <w:proofErr w:type="spellEnd"/>
      <w:r w:rsidRPr="00B17604">
        <w:rPr>
          <w:rFonts w:cs="Arial"/>
          <w:color w:val="auto"/>
          <w:szCs w:val="23"/>
          <w:lang w:val="es-MX"/>
        </w:rPr>
        <w:t>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Cuando la cantidad o el valor de la dádiva, promesa o prestación exceda de </w:t>
      </w:r>
      <w:r w:rsidRPr="00B17604">
        <w:rPr>
          <w:rFonts w:ascii="Arial" w:hAnsi="Arial" w:cs="Arial"/>
          <w:szCs w:val="23"/>
          <w:lang w:val="es-MX"/>
        </w:rPr>
        <w:lastRenderedPageBreak/>
        <w:t>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En ningún caso se devolverá a los responsables del delito de cohecho, el dinero o dádivas entregadas, las mismas se aplicarán en beneficio del Estado.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Capítulo XI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Cohecho a servidores públicos extranjeros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Artículo 222 bis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Se impondrán las penas previstas en el artículo anterior al que con el propósito de obtener o tener para sí o para otra persona ventajas indebidas en el desarrollo o conducción de transacciones comerciales internacionales, ofrezca, prometa o dé, por sí o por interpósita persona, dinero o cualquiera otra dádiva, ya sea en bienes o servicios: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2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A un servidor público extranjero para que gestione o se abstenga de gestionar la tramitación o resolución de asuntos relacionados con las funciones inherentes a su empleo, cargo o comisión;</w:t>
      </w:r>
    </w:p>
    <w:p w:rsidR="009968C4" w:rsidRPr="00B17604" w:rsidRDefault="009968C4" w:rsidP="009968C4">
      <w:pPr>
        <w:pStyle w:val="Default"/>
        <w:ind w:left="360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2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A un servidor público extranjero para llevar a cabo la tramitación o resolución de cualquier asunto que se encuentre fuera del ámbito de las funciones inherentes a su empleo, cargo o comisión, o 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2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A cualquier persona para que acuda ante un servidor público extranjero y le requiera o le proponga llevar a cabo la tramitación o resolución de cualquier asunto relacionado con las funciones inherentes al empleo, cargo o comisión de este último.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Para los efectos de este artículo se entiende por servidor público extranjero, toda persona que ostente u ocupe un cargo público considerado así por la ley respectiva, en los órganos legislativo, ejecutivo o judicial de un Estado extranjero, </w:t>
      </w:r>
      <w:r w:rsidRPr="00B17604">
        <w:rPr>
          <w:rFonts w:cs="Arial"/>
          <w:color w:val="auto"/>
          <w:szCs w:val="23"/>
          <w:lang w:val="es-MX"/>
        </w:rPr>
        <w:lastRenderedPageBreak/>
        <w:t>incluyendo las agencias o empresas autónomas, independientes o de participación estatal, en cualquier orden o nivel de gobierno, así como cualquier organismo u organización pública internacionales.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Default="009968C4" w:rsidP="009968C4">
      <w:pPr>
        <w:pStyle w:val="Default"/>
        <w:rPr>
          <w:rFonts w:cs="Arial"/>
          <w:color w:val="auto"/>
          <w:lang w:val="es-MX"/>
        </w:rPr>
      </w:pPr>
      <w:r w:rsidRPr="00B17604">
        <w:rPr>
          <w:rFonts w:cs="Arial"/>
          <w:color w:val="auto"/>
          <w:lang w:val="es-MX"/>
        </w:rPr>
        <w:t xml:space="preserve">Cuando alguno de los delitos comprendidos en este artículo se cometa en los supuestos a que se refiere el artículo 11 del este Código, el juez impondrá a la persona moral hasta quinientos días multa y podrá decretar su suspensión o disolución, tomando en consideración el grado de conocimiento de los órganos de administración respecto del cohecho en la transacción internacional y el daño causado o el beneficio obtenido por la persona moral.” </w:t>
      </w:r>
    </w:p>
    <w:p w:rsidR="00422C03" w:rsidRDefault="00422C03" w:rsidP="009968C4">
      <w:pPr>
        <w:pStyle w:val="Default"/>
        <w:rPr>
          <w:rFonts w:cs="Arial"/>
          <w:color w:val="auto"/>
          <w:lang w:val="es-MX"/>
        </w:rPr>
      </w:pPr>
    </w:p>
    <w:p w:rsidR="00422C03" w:rsidRDefault="00422C03" w:rsidP="00422C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INCONFORMIDADES</w:t>
      </w:r>
    </w:p>
    <w:p w:rsidR="00422C03" w:rsidRDefault="00422C03" w:rsidP="00422C03">
      <w:pPr>
        <w:rPr>
          <w:rFonts w:ascii="Arial" w:hAnsi="Arial" w:cs="Arial"/>
        </w:rPr>
      </w:pPr>
    </w:p>
    <w:p w:rsidR="00422C03" w:rsidRPr="00422C03" w:rsidRDefault="00422C03" w:rsidP="00422C03">
      <w:pPr>
        <w:pStyle w:val="Default"/>
        <w:rPr>
          <w:rFonts w:cs="Arial"/>
          <w:color w:val="auto"/>
          <w:lang w:val="es-MX"/>
        </w:rPr>
      </w:pPr>
      <w:r w:rsidRPr="00422C03">
        <w:rPr>
          <w:rFonts w:cs="Arial"/>
          <w:color w:val="auto"/>
          <w:lang w:val="es-MX"/>
        </w:rPr>
        <w:t xml:space="preserve">Las personas que participen en esta licitación, podrán inconformarse ante El Órgano Interno de Control en esta Secretaría, cita en el Centro Nacional SCT, Av. Universidad y </w:t>
      </w:r>
      <w:proofErr w:type="spellStart"/>
      <w:r w:rsidRPr="00422C03">
        <w:rPr>
          <w:rFonts w:cs="Arial"/>
          <w:color w:val="auto"/>
          <w:lang w:val="es-MX"/>
        </w:rPr>
        <w:t>Xola</w:t>
      </w:r>
      <w:proofErr w:type="spellEnd"/>
      <w:r w:rsidRPr="00422C03">
        <w:rPr>
          <w:rFonts w:cs="Arial"/>
          <w:color w:val="auto"/>
          <w:lang w:val="es-MX"/>
        </w:rPr>
        <w:t>, Cuerpo “A”, 1er. Piso, Ala Poniente, Col. Narvarte, Delegación Benito Juárez, C.P</w:t>
      </w:r>
      <w:bookmarkStart w:id="0" w:name="_GoBack"/>
      <w:bookmarkEnd w:id="0"/>
      <w:r w:rsidRPr="00422C03">
        <w:rPr>
          <w:rFonts w:cs="Arial"/>
          <w:color w:val="auto"/>
          <w:lang w:val="es-MX"/>
        </w:rPr>
        <w:t>. 03020, en México, D. F. o a través de los medios remotos de comunicación electrónica, de conformidad al Acuerdo publicado en el Diario Oficial de la Federación el 9 de agosto del 2000; de acuerdo a lo indicado en el segundo párrafo del artículo 83 de la “LEY”, dentro de los diez días hábiles siguientes a aquél en que ocurra el acto que se considere contravenga las disposiciones o el inconforme tenga conocimiento del mismo.</w:t>
      </w:r>
    </w:p>
    <w:p w:rsidR="00422C03" w:rsidRPr="00422C03" w:rsidRDefault="00422C03" w:rsidP="009968C4">
      <w:pPr>
        <w:pStyle w:val="Default"/>
        <w:rPr>
          <w:rFonts w:cs="Arial"/>
          <w:color w:val="auto"/>
        </w:rPr>
      </w:pPr>
    </w:p>
    <w:sectPr w:rsidR="00422C03" w:rsidRPr="00422C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15EA"/>
    <w:multiLevelType w:val="hybridMultilevel"/>
    <w:tmpl w:val="0570EFC2"/>
    <w:lvl w:ilvl="0" w:tplc="0C0A0001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20150F5"/>
    <w:multiLevelType w:val="hybridMultilevel"/>
    <w:tmpl w:val="0CE2B75E"/>
    <w:lvl w:ilvl="0" w:tplc="0C0A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3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5A517B"/>
    <w:multiLevelType w:val="hybridMultilevel"/>
    <w:tmpl w:val="4976CB2A"/>
    <w:lvl w:ilvl="0" w:tplc="0C0A0001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8C4"/>
    <w:rsid w:val="003E77BF"/>
    <w:rsid w:val="00422C03"/>
    <w:rsid w:val="00687622"/>
    <w:rsid w:val="008E4EF9"/>
    <w:rsid w:val="009968C4"/>
    <w:rsid w:val="00B21A1F"/>
    <w:rsid w:val="00E274E0"/>
    <w:rsid w:val="00F8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8C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968C4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968C4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968C4"/>
    <w:rPr>
      <w:rFonts w:ascii="Arial" w:eastAsia="Times New Roman" w:hAnsi="Arial" w:cs="Times New Roman"/>
      <w:b/>
      <w:bCs/>
      <w:color w:val="000000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8C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968C4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968C4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968C4"/>
    <w:rPr>
      <w:rFonts w:ascii="Arial" w:eastAsia="Times New Roman" w:hAnsi="Arial" w:cs="Times New Roman"/>
      <w:b/>
      <w:bCs/>
      <w:color w:val="000000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1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1334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Javier Vargas Hernandez</dc:creator>
  <cp:lastModifiedBy>ulises byk</cp:lastModifiedBy>
  <cp:revision>4</cp:revision>
  <dcterms:created xsi:type="dcterms:W3CDTF">2012-04-11T22:38:00Z</dcterms:created>
  <dcterms:modified xsi:type="dcterms:W3CDTF">2012-06-06T17:42:00Z</dcterms:modified>
</cp:coreProperties>
</file>